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4F5" w:rsidRPr="00643540" w:rsidRDefault="006374F5" w:rsidP="006374F5">
      <w:pPr>
        <w:pStyle w:val="a3"/>
        <w:widowControl w:val="0"/>
        <w:jc w:val="both"/>
        <w:rPr>
          <w:b/>
          <w:sz w:val="28"/>
          <w:szCs w:val="28"/>
        </w:rPr>
      </w:pPr>
      <w:r w:rsidRPr="00643540">
        <w:rPr>
          <w:b/>
          <w:sz w:val="28"/>
          <w:szCs w:val="28"/>
        </w:rPr>
        <w:t>Вопросы для подготовки к экзамену</w:t>
      </w:r>
    </w:p>
    <w:p w:rsidR="006374F5" w:rsidRPr="00D9198F" w:rsidRDefault="006374F5" w:rsidP="006374F5">
      <w:r w:rsidRPr="00D9198F">
        <w:t>1. Капиталовложения в элементы энергосистем</w:t>
      </w:r>
    </w:p>
    <w:p w:rsidR="006374F5" w:rsidRPr="00D9198F" w:rsidRDefault="006374F5" w:rsidP="006374F5">
      <w:r w:rsidRPr="00D9198F">
        <w:t>2. Расходы по эксплуатации электрической сети</w:t>
      </w:r>
    </w:p>
    <w:p w:rsidR="006374F5" w:rsidRPr="00D9198F" w:rsidRDefault="006374F5" w:rsidP="006374F5">
      <w:r w:rsidRPr="00D9198F">
        <w:t>3. Технико-экономическое сравнение вариантов сети</w:t>
      </w:r>
    </w:p>
    <w:p w:rsidR="006374F5" w:rsidRPr="00D9198F" w:rsidRDefault="006374F5" w:rsidP="006374F5">
      <w:r w:rsidRPr="00D9198F">
        <w:t>4. Категории надежности электроснабжения потребителей</w:t>
      </w:r>
    </w:p>
    <w:p w:rsidR="006374F5" w:rsidRPr="00D9198F" w:rsidRDefault="006374F5" w:rsidP="006374F5">
      <w:r w:rsidRPr="00D9198F">
        <w:t>5. Технико-экономическое сравнение вариантов сети с учетом ущерба</w:t>
      </w:r>
    </w:p>
    <w:p w:rsidR="006374F5" w:rsidRPr="00D9198F" w:rsidRDefault="006374F5" w:rsidP="006374F5">
      <w:r w:rsidRPr="00D9198F">
        <w:t>6. Методы прогнозирования нагрузок энергосистем</w:t>
      </w:r>
    </w:p>
    <w:p w:rsidR="006374F5" w:rsidRPr="00D9198F" w:rsidRDefault="006374F5" w:rsidP="006374F5">
      <w:r w:rsidRPr="00D9198F">
        <w:t>7. Выбор номинального напряжения сети</w:t>
      </w:r>
    </w:p>
    <w:p w:rsidR="006374F5" w:rsidRPr="00D9198F" w:rsidRDefault="006374F5" w:rsidP="006374F5">
      <w:r w:rsidRPr="00D9198F">
        <w:t xml:space="preserve">8. Чистый дисконтированный доход </w:t>
      </w:r>
    </w:p>
    <w:p w:rsidR="006374F5" w:rsidRPr="00D9198F" w:rsidRDefault="006374F5" w:rsidP="006374F5">
      <w:r w:rsidRPr="00D9198F">
        <w:t>9. Выбор сечения проводов по экономической плотности тока</w:t>
      </w:r>
    </w:p>
    <w:p w:rsidR="006374F5" w:rsidRPr="00D9198F" w:rsidRDefault="006374F5" w:rsidP="006374F5">
      <w:r w:rsidRPr="00D9198F">
        <w:t>10. Выбор сечений проводов по экономическим интервалам</w:t>
      </w:r>
    </w:p>
    <w:p w:rsidR="006374F5" w:rsidRPr="00D9198F" w:rsidRDefault="006374F5" w:rsidP="006374F5">
      <w:r w:rsidRPr="00D9198F">
        <w:t>11. Выбор сечения линии по допустимой потере напряжения при условии равенства сечения на всех участках линии</w:t>
      </w:r>
    </w:p>
    <w:p w:rsidR="006374F5" w:rsidRPr="00D9198F" w:rsidRDefault="006374F5" w:rsidP="006374F5">
      <w:r w:rsidRPr="00D9198F">
        <w:t>12. Выбор сечения линии по допустимой потере напряжения при условии минимума суммарных потерь активной мощности</w:t>
      </w:r>
    </w:p>
    <w:p w:rsidR="006374F5" w:rsidRPr="00D9198F" w:rsidRDefault="006374F5" w:rsidP="006374F5">
      <w:r w:rsidRPr="00D9198F">
        <w:t xml:space="preserve">13. Выбор сечения линии по допустимой потере напряжения при условии минимума </w:t>
      </w:r>
      <w:r w:rsidRPr="00D9198F">
        <w:rPr>
          <w:snapToGrid w:val="0"/>
        </w:rPr>
        <w:t>расхода проводникового материала</w:t>
      </w:r>
    </w:p>
    <w:p w:rsidR="006374F5" w:rsidRPr="00D9198F" w:rsidRDefault="006374F5" w:rsidP="006374F5">
      <w:r w:rsidRPr="00D9198F">
        <w:t>14. Температура, допустимая по нагреву проводов и кабелей</w:t>
      </w:r>
    </w:p>
    <w:p w:rsidR="006374F5" w:rsidRPr="00D9198F" w:rsidRDefault="006374F5" w:rsidP="006374F5">
      <w:r w:rsidRPr="00D9198F">
        <w:t>15. Ток, допустимый по нагреву проводов и кабелей</w:t>
      </w:r>
    </w:p>
    <w:p w:rsidR="006374F5" w:rsidRPr="00D9198F" w:rsidRDefault="006374F5" w:rsidP="006374F5">
      <w:r w:rsidRPr="00D9198F">
        <w:t>16. Проверка сечений по условиям нагрева</w:t>
      </w:r>
    </w:p>
    <w:p w:rsidR="006374F5" w:rsidRPr="00D9198F" w:rsidRDefault="006374F5" w:rsidP="006374F5">
      <w:r w:rsidRPr="00D9198F">
        <w:t>17. Аппараты, защищающие сеть от перегрева</w:t>
      </w:r>
    </w:p>
    <w:p w:rsidR="006374F5" w:rsidRPr="00D9198F" w:rsidRDefault="006374F5" w:rsidP="006374F5">
      <w:r w:rsidRPr="00D9198F">
        <w:t>18. Выбор аппаратов, защищающих сеть от перегрева</w:t>
      </w:r>
    </w:p>
    <w:p w:rsidR="006374F5" w:rsidRPr="00D9198F" w:rsidRDefault="006374F5" w:rsidP="006374F5">
      <w:r w:rsidRPr="00D9198F">
        <w:t>19. Линейные уравнения узловых напряжений</w:t>
      </w:r>
    </w:p>
    <w:p w:rsidR="006374F5" w:rsidRPr="00D9198F" w:rsidRDefault="006374F5" w:rsidP="006374F5">
      <w:r w:rsidRPr="00D9198F">
        <w:t>20. Метод Гаусса решения линейных уравнений узловых напряжений</w:t>
      </w:r>
    </w:p>
    <w:p w:rsidR="006374F5" w:rsidRPr="00D9198F" w:rsidRDefault="006374F5" w:rsidP="006374F5">
      <w:r w:rsidRPr="00D9198F">
        <w:t xml:space="preserve">21. Применение </w:t>
      </w:r>
      <w:r w:rsidRPr="00D9198F">
        <w:rPr>
          <w:snapToGrid w:val="0"/>
        </w:rPr>
        <w:t>обратной матрицы</w:t>
      </w:r>
      <w:r w:rsidRPr="00D9198F">
        <w:t xml:space="preserve"> </w:t>
      </w:r>
      <w:r w:rsidRPr="00D9198F">
        <w:rPr>
          <w:snapToGrid w:val="0"/>
          <w:position w:val="-12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.4pt;height:18.6pt" o:ole="" fillcolor="window">
            <v:imagedata r:id="rId4" o:title=""/>
          </v:shape>
          <o:OLEObject Type="Embed" ProgID="Equation.DSMT4" ShapeID="_x0000_i1025" DrawAspect="Content" ObjectID="_1650782058" r:id="rId5"/>
        </w:object>
      </w:r>
      <w:r w:rsidRPr="00D9198F">
        <w:t xml:space="preserve"> для решения линейных уравнений узловых напряжений.</w:t>
      </w:r>
    </w:p>
    <w:p w:rsidR="006374F5" w:rsidRPr="00D9198F" w:rsidRDefault="006374F5" w:rsidP="006374F5">
      <w:r w:rsidRPr="00D9198F">
        <w:t>22. Метод простой итерации решения линейных уравнений узловых напряжений</w:t>
      </w:r>
    </w:p>
    <w:p w:rsidR="006374F5" w:rsidRPr="00D9198F" w:rsidRDefault="006374F5" w:rsidP="006374F5">
      <w:r w:rsidRPr="00D9198F">
        <w:t>23. Метод Зейделя решения линейных уравнений узловых напряжений</w:t>
      </w:r>
    </w:p>
    <w:p w:rsidR="006374F5" w:rsidRPr="00D9198F" w:rsidRDefault="006374F5" w:rsidP="006374F5">
      <w:r w:rsidRPr="00D9198F">
        <w:t>24. Нелинейные уравнения узловых напряжений</w:t>
      </w:r>
    </w:p>
    <w:p w:rsidR="006374F5" w:rsidRPr="00D9198F" w:rsidRDefault="006374F5" w:rsidP="006374F5">
      <w:r w:rsidRPr="00D9198F">
        <w:t>25. Метод Гаусса решения нелинейных уравнений узловых напряжений</w:t>
      </w:r>
    </w:p>
    <w:p w:rsidR="006374F5" w:rsidRPr="00D9198F" w:rsidRDefault="006374F5" w:rsidP="006374F5">
      <w:r w:rsidRPr="00D9198F">
        <w:t xml:space="preserve">26. Применение </w:t>
      </w:r>
      <w:r w:rsidRPr="00D9198F">
        <w:rPr>
          <w:snapToGrid w:val="0"/>
        </w:rPr>
        <w:t>обратной матрицы</w:t>
      </w:r>
      <w:r w:rsidRPr="00D9198F">
        <w:t xml:space="preserve"> </w:t>
      </w:r>
      <w:r w:rsidRPr="00D9198F">
        <w:rPr>
          <w:snapToGrid w:val="0"/>
          <w:position w:val="-12"/>
        </w:rPr>
        <w:object w:dxaOrig="340" w:dyaOrig="360">
          <v:shape id="_x0000_i1026" type="#_x0000_t75" style="width:17.4pt;height:18.6pt" o:ole="" fillcolor="window">
            <v:imagedata r:id="rId4" o:title=""/>
          </v:shape>
          <o:OLEObject Type="Embed" ProgID="Equation.DSMT4" ShapeID="_x0000_i1026" DrawAspect="Content" ObjectID="_1650782059" r:id="rId6"/>
        </w:object>
      </w:r>
      <w:r w:rsidRPr="00D9198F">
        <w:t xml:space="preserve"> для решения нелинейных уравнений узловых напряжений.</w:t>
      </w:r>
    </w:p>
    <w:p w:rsidR="006374F5" w:rsidRPr="00D9198F" w:rsidRDefault="006374F5" w:rsidP="006374F5">
      <w:r w:rsidRPr="00D9198F">
        <w:t>27. Метод простой итерации решения нелинейных уравнений узловых напряжений</w:t>
      </w:r>
    </w:p>
    <w:p w:rsidR="006374F5" w:rsidRPr="00D9198F" w:rsidRDefault="006374F5" w:rsidP="006374F5">
      <w:r w:rsidRPr="00D9198F">
        <w:t>28. Метод Зейделя решения нелинейных уравнений узловых напряжений</w:t>
      </w:r>
    </w:p>
    <w:p w:rsidR="006374F5" w:rsidRPr="00D9198F" w:rsidRDefault="006374F5" w:rsidP="006374F5">
      <w:r w:rsidRPr="00D9198F">
        <w:t>29. Метод Ньютона решения нелинейных уравнений узловых напряжений</w:t>
      </w:r>
    </w:p>
    <w:p w:rsidR="006374F5" w:rsidRPr="00D9198F" w:rsidRDefault="006374F5" w:rsidP="006374F5">
      <w:r w:rsidRPr="00D9198F">
        <w:t>30. Упрощение схем замещения сетей путем замены нескольких линий одной</w:t>
      </w:r>
    </w:p>
    <w:p w:rsidR="006374F5" w:rsidRPr="00D9198F" w:rsidRDefault="006374F5" w:rsidP="006374F5">
      <w:r w:rsidRPr="00D9198F">
        <w:t>31. Упрощение схем замещения сетей путем переноса нагрузки</w:t>
      </w:r>
    </w:p>
    <w:p w:rsidR="006374F5" w:rsidRPr="00D9198F" w:rsidRDefault="006374F5" w:rsidP="006374F5">
      <w:r w:rsidRPr="00D9198F">
        <w:t>32. Преобразования треугольника в звезду и обратно</w:t>
      </w:r>
    </w:p>
    <w:p w:rsidR="006374F5" w:rsidRPr="00D9198F" w:rsidRDefault="006374F5" w:rsidP="006374F5">
      <w:r w:rsidRPr="00D9198F">
        <w:t>33. Учет слабой заполненности матриц</w:t>
      </w:r>
    </w:p>
    <w:p w:rsidR="006374F5" w:rsidRPr="00D9198F" w:rsidRDefault="006374F5" w:rsidP="006374F5">
      <w:r w:rsidRPr="00D9198F">
        <w:t>34. Классификация потерь энергии</w:t>
      </w:r>
    </w:p>
    <w:p w:rsidR="006374F5" w:rsidRPr="00D9198F" w:rsidRDefault="006374F5" w:rsidP="006374F5">
      <w:r w:rsidRPr="00D9198F">
        <w:t>35. Расчет потерь электроэнергии по графику нагрузки</w:t>
      </w:r>
    </w:p>
    <w:p w:rsidR="006374F5" w:rsidRPr="00D9198F" w:rsidRDefault="006374F5" w:rsidP="006374F5">
      <w:r w:rsidRPr="00D9198F">
        <w:t>36. Расчет потерь электроэнергии по времени наибольших потерь</w:t>
      </w:r>
    </w:p>
    <w:p w:rsidR="006374F5" w:rsidRPr="00D9198F" w:rsidRDefault="006374F5" w:rsidP="006374F5">
      <w:pPr>
        <w:rPr>
          <w:i/>
          <w:vertAlign w:val="subscript"/>
        </w:rPr>
      </w:pPr>
      <w:r w:rsidRPr="00D9198F">
        <w:t xml:space="preserve">37. Расчет потерь электроэнергии методом </w:t>
      </w:r>
      <w:r w:rsidRPr="00D9198F">
        <w:rPr>
          <w:i/>
        </w:rPr>
        <w:sym w:font="Symbol" w:char="F074"/>
      </w:r>
      <w:r w:rsidRPr="00D9198F">
        <w:rPr>
          <w:i/>
          <w:vertAlign w:val="subscript"/>
        </w:rPr>
        <w:t>Р</w:t>
      </w:r>
      <w:r w:rsidRPr="00D9198F">
        <w:rPr>
          <w:i/>
        </w:rPr>
        <w:t xml:space="preserve"> </w:t>
      </w:r>
      <w:r w:rsidRPr="00D9198F">
        <w:rPr>
          <w:i/>
        </w:rPr>
        <w:sym w:font="Symbol" w:char="F074"/>
      </w:r>
      <w:r w:rsidRPr="00D9198F">
        <w:rPr>
          <w:i/>
          <w:vertAlign w:val="subscript"/>
          <w:lang w:val="en-US"/>
        </w:rPr>
        <w:t>Q</w:t>
      </w:r>
    </w:p>
    <w:p w:rsidR="006374F5" w:rsidRPr="00D9198F" w:rsidRDefault="006374F5" w:rsidP="006374F5">
      <w:pPr>
        <w:rPr>
          <w:i/>
        </w:rPr>
      </w:pPr>
      <w:r w:rsidRPr="00D9198F">
        <w:t xml:space="preserve">38. Расчет потерь электроэнергии методом двух </w:t>
      </w:r>
      <w:r w:rsidRPr="00D9198F">
        <w:rPr>
          <w:i/>
        </w:rPr>
        <w:sym w:font="Symbol" w:char="F074"/>
      </w:r>
    </w:p>
    <w:p w:rsidR="006374F5" w:rsidRPr="00D9198F" w:rsidRDefault="006374F5" w:rsidP="006374F5">
      <w:r w:rsidRPr="00D9198F">
        <w:t>39. Расчет потерь электроэнергии методом средних нагрузок</w:t>
      </w:r>
    </w:p>
    <w:p w:rsidR="006374F5" w:rsidRPr="00D9198F" w:rsidRDefault="006374F5" w:rsidP="006374F5">
      <w:r w:rsidRPr="00D9198F">
        <w:t>40. Расчет потерь электроэнергии методом характерных режимов</w:t>
      </w:r>
    </w:p>
    <w:p w:rsidR="006374F5" w:rsidRPr="00D9198F" w:rsidRDefault="006374F5" w:rsidP="006374F5">
      <w:r w:rsidRPr="00D9198F">
        <w:t>41.Условно-постоянные потери в трансформаторах, ЛЭП и оборудовании</w:t>
      </w:r>
    </w:p>
    <w:p w:rsidR="006374F5" w:rsidRPr="00D9198F" w:rsidRDefault="006374F5" w:rsidP="006374F5">
      <w:r w:rsidRPr="00D9198F">
        <w:t>42. Мероприятия по снижению технических потерь энергии</w:t>
      </w:r>
      <w:bookmarkStart w:id="0" w:name="_GoBack"/>
      <w:bookmarkEnd w:id="0"/>
    </w:p>
    <w:sectPr w:rsidR="006374F5" w:rsidRPr="00D91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55"/>
    <w:rsid w:val="00052CC3"/>
    <w:rsid w:val="004B733A"/>
    <w:rsid w:val="006374F5"/>
    <w:rsid w:val="007E3807"/>
    <w:rsid w:val="008912DC"/>
    <w:rsid w:val="00923918"/>
    <w:rsid w:val="00994D55"/>
    <w:rsid w:val="00BC0D2E"/>
    <w:rsid w:val="00DA1549"/>
    <w:rsid w:val="00E136CC"/>
    <w:rsid w:val="00FD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4B2D0-C7FB-4968-8998-B96D7D5D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912DC"/>
    <w:pPr>
      <w:spacing w:line="36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8912DC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37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НЛК-410</dc:creator>
  <cp:keywords/>
  <dc:description/>
  <cp:lastModifiedBy>vik</cp:lastModifiedBy>
  <cp:revision>2</cp:revision>
  <dcterms:created xsi:type="dcterms:W3CDTF">2020-05-12T06:48:00Z</dcterms:created>
  <dcterms:modified xsi:type="dcterms:W3CDTF">2020-05-12T06:48:00Z</dcterms:modified>
</cp:coreProperties>
</file>